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B9F9" w14:textId="77777777" w:rsidR="007F2FD0" w:rsidRDefault="007F2FD0" w:rsidP="007F2FD0">
      <w:pPr>
        <w:spacing w:before="120" w:after="160" w:line="288" w:lineRule="auto"/>
        <w:jc w:val="center"/>
      </w:pPr>
      <w:r>
        <w:rPr>
          <w:b/>
          <w:color w:val="000000"/>
          <w:sz w:val="28"/>
        </w:rPr>
        <w:t>Appendix 6. Antibody Track Preliminary Round Submission Template</w:t>
      </w:r>
    </w:p>
    <w:p w14:paraId="242241A0" w14:textId="77777777" w:rsidR="007F2FD0" w:rsidRDefault="007F2FD0" w:rsidP="007F2FD0">
      <w:pPr>
        <w:spacing w:before="120" w:after="120" w:line="288" w:lineRule="auto"/>
      </w:pPr>
      <w:r>
        <w:rPr>
          <w:b/>
          <w:color w:val="000000"/>
          <w:sz w:val="24"/>
        </w:rPr>
        <w:t>I. Submission Instructions</w:t>
      </w:r>
    </w:p>
    <w:p w14:paraId="513C6B7F" w14:textId="77777777" w:rsidR="007F2FD0" w:rsidRDefault="007F2FD0" w:rsidP="007F2FD0">
      <w:pPr>
        <w:spacing w:before="120" w:after="120" w:line="288" w:lineRule="auto"/>
        <w:jc w:val="both"/>
      </w:pPr>
      <w:r>
        <w:rPr>
          <w:color w:val="000000"/>
        </w:rPr>
        <w:t>1. Participating Teams must submit candidate antibody sequences in descending order of recommendation priority. Each Participating Team may submit up to 50 candidate antibody sequences.</w:t>
      </w:r>
    </w:p>
    <w:p w14:paraId="15F4BA59" w14:textId="77777777" w:rsidR="007F2FD0" w:rsidRDefault="007F2FD0" w:rsidP="007F2FD0">
      <w:pPr>
        <w:spacing w:before="120" w:after="120" w:line="288" w:lineRule="auto"/>
        <w:jc w:val="both"/>
      </w:pPr>
      <w:r>
        <w:rPr>
          <w:color w:val="000000"/>
        </w:rPr>
        <w:t>2. Candidate antibodies may be IgG monoclonal antibodies or VHH single-domain antibodies (nanobodies). The design type must be clearly indicated as “de novo design” or “optimization/modification.”</w:t>
      </w:r>
    </w:p>
    <w:p w14:paraId="689DA3F9" w14:textId="7E3BAD42" w:rsidR="007F2FD0" w:rsidRDefault="007F2FD0" w:rsidP="007F2FD0">
      <w:pPr>
        <w:spacing w:before="120" w:after="120" w:line="288" w:lineRule="auto"/>
        <w:jc w:val="both"/>
      </w:pPr>
      <w:r>
        <w:rPr>
          <w:color w:val="000000"/>
        </w:rPr>
        <w:t xml:space="preserve">3. Participating Teams may not directly submit </w:t>
      </w:r>
      <w:r w:rsidR="00BB3233">
        <w:rPr>
          <w:color w:val="000000"/>
        </w:rPr>
        <w:t>competition-provided known positive reference antibody sequences</w:t>
      </w:r>
      <w:r>
        <w:rPr>
          <w:color w:val="000000"/>
        </w:rPr>
        <w:t>, or other public or non-public experimentally validated antibody sequences, without substantive design or modification. If optimization/modification is conducted based on an existing antibody sequence, the name, source, and sequence information of the starting molecule must be truthfully provided.</w:t>
      </w:r>
    </w:p>
    <w:p w14:paraId="02A877C7" w14:textId="2069C9E4" w:rsidR="007F2FD0" w:rsidRPr="00A94551" w:rsidRDefault="007F2FD0" w:rsidP="007F2FD0">
      <w:pPr>
        <w:spacing w:before="120" w:after="120" w:line="288" w:lineRule="auto"/>
        <w:rPr>
          <w:rFonts w:eastAsiaTheme="minorEastAsia"/>
          <w:lang w:eastAsia="zh-CN"/>
        </w:rPr>
      </w:pPr>
      <w:r>
        <w:rPr>
          <w:b/>
          <w:color w:val="000000"/>
          <w:sz w:val="24"/>
        </w:rPr>
        <w:t>II. Antibody Submission Format Example</w:t>
      </w:r>
      <w:r w:rsidR="00A94551">
        <w:rPr>
          <w:rFonts w:eastAsiaTheme="minorEastAsia" w:hint="eastAsia"/>
          <w:b/>
          <w:color w:val="000000"/>
          <w:sz w:val="24"/>
          <w:lang w:eastAsia="zh-CN"/>
        </w:rPr>
        <w:t xml:space="preserve"> </w:t>
      </w:r>
    </w:p>
    <w:p w14:paraId="1407CB7D" w14:textId="77777777" w:rsidR="007F2FD0" w:rsidRDefault="007F2FD0" w:rsidP="007F2FD0">
      <w:pPr>
        <w:spacing w:before="120" w:after="120" w:line="288" w:lineRule="auto"/>
        <w:jc w:val="both"/>
      </w:pPr>
      <w:r>
        <w:rPr>
          <w:color w:val="000000"/>
        </w:rPr>
        <w:t>The following entries are provided only to illustrate how to complete the template. They do not represent real antibody sequences and may not be submitted as valid candidate sequences.</w:t>
      </w:r>
    </w:p>
    <w:tbl>
      <w:tblPr>
        <w:tblStyle w:val="ae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1103"/>
        <w:gridCol w:w="919"/>
        <w:gridCol w:w="1365"/>
        <w:gridCol w:w="1167"/>
        <w:gridCol w:w="1167"/>
        <w:gridCol w:w="1219"/>
        <w:gridCol w:w="1167"/>
        <w:gridCol w:w="1167"/>
        <w:gridCol w:w="1152"/>
        <w:gridCol w:w="777"/>
        <w:gridCol w:w="1419"/>
        <w:gridCol w:w="949"/>
      </w:tblGrid>
      <w:tr w:rsidR="007F2FD0" w14:paraId="2A5646FF" w14:textId="77777777" w:rsidTr="009836D6">
        <w:trPr>
          <w:tblHeader/>
          <w:jc w:val="center"/>
        </w:trPr>
        <w:tc>
          <w:tcPr>
            <w:tcW w:w="56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624C0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No.</w:t>
            </w:r>
          </w:p>
        </w:tc>
        <w:tc>
          <w:tcPr>
            <w:tcW w:w="124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C95EC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Antibody Name</w:t>
            </w:r>
          </w:p>
        </w:tc>
        <w:tc>
          <w:tcPr>
            <w:tcW w:w="124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02CBE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Antibody Format</w:t>
            </w:r>
          </w:p>
        </w:tc>
        <w:tc>
          <w:tcPr>
            <w:tcW w:w="113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3CBA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Design Type</w:t>
            </w:r>
          </w:p>
        </w:tc>
        <w:tc>
          <w:tcPr>
            <w:tcW w:w="19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A542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VH/VHH Amino Acid Sequence</w:t>
            </w:r>
          </w:p>
        </w:tc>
        <w:tc>
          <w:tcPr>
            <w:tcW w:w="19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787DA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VL Amino Acid Sequence</w:t>
            </w:r>
          </w:p>
        </w:tc>
        <w:tc>
          <w:tcPr>
            <w:tcW w:w="181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39CDA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Starting Molecule Name/Source</w:t>
            </w:r>
          </w:p>
        </w:tc>
        <w:tc>
          <w:tcPr>
            <w:tcW w:w="19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504D4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Starting Molecule VH/VHH Sequence</w:t>
            </w:r>
          </w:p>
        </w:tc>
        <w:tc>
          <w:tcPr>
            <w:tcW w:w="19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043E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Starting Molecule VL Sequence</w:t>
            </w:r>
          </w:p>
        </w:tc>
        <w:tc>
          <w:tcPr>
            <w:tcW w:w="19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A673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Design Rationale</w:t>
            </w:r>
          </w:p>
        </w:tc>
        <w:tc>
          <w:tcPr>
            <w:tcW w:w="124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06124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Self-Check Result</w:t>
            </w:r>
          </w:p>
        </w:tc>
        <w:tc>
          <w:tcPr>
            <w:tcW w:w="19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B9A56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Model-Predicted Score / Recommendation Rationale</w:t>
            </w:r>
          </w:p>
        </w:tc>
        <w:tc>
          <w:tcPr>
            <w:tcW w:w="90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CC38A" w14:textId="77777777" w:rsidR="007F2FD0" w:rsidRDefault="007F2FD0" w:rsidP="009836D6">
            <w:pPr>
              <w:spacing w:before="60" w:after="60"/>
              <w:jc w:val="center"/>
            </w:pPr>
            <w:r>
              <w:rPr>
                <w:b/>
                <w:color w:val="000000"/>
                <w:sz w:val="11"/>
              </w:rPr>
              <w:t>Recommended Rank</w:t>
            </w:r>
          </w:p>
        </w:tc>
      </w:tr>
      <w:tr w:rsidR="007F2FD0" w14:paraId="014D2BEA" w14:textId="77777777" w:rsidTr="009836D6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7183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5965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Ab_example_001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65D93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IgG monoclonal antibody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0D0E7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de novo design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B1B8A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VH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C4D01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VL sequence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31154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A7EC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2CB80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59AE8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Briefly describe the de novo design strategy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492F8" w14:textId="77777777" w:rsidR="007F2FD0" w:rsidRDefault="007F2FD0" w:rsidP="009836D6">
            <w:pPr>
              <w:spacing w:before="60" w:after="60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70205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predicted score / ranking rationale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5500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1</w:t>
            </w:r>
          </w:p>
        </w:tc>
      </w:tr>
      <w:tr w:rsidR="007F2FD0" w14:paraId="3F3215F3" w14:textId="77777777" w:rsidTr="009836D6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A692F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1D3E5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Ab_example_002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B06C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IgG monoclonal antibody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1894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optimization/modification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ED93B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VH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082C1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VL sequence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4E32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starting antibody name/source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36F9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starting VH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5D170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starting VL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08D82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Briefly describe the main modified regions and strategy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6335" w14:textId="77777777" w:rsidR="007F2FD0" w:rsidRDefault="007F2FD0" w:rsidP="009836D6">
            <w:pPr>
              <w:spacing w:before="60" w:after="60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BDD2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predicted score / ranking rationale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0BC4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2</w:t>
            </w:r>
          </w:p>
        </w:tc>
      </w:tr>
      <w:tr w:rsidR="007F2FD0" w14:paraId="07E1DDE8" w14:textId="77777777" w:rsidTr="009836D6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0EA83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8F44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Ab_example_003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1D7E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VHH single-domain antibody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59016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de novo design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598E6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VHH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7819A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C6D0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EF98B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3D7D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9EC7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Briefly describe the de novo design strategy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7253D" w14:textId="77777777" w:rsidR="007F2FD0" w:rsidRDefault="007F2FD0" w:rsidP="009836D6">
            <w:pPr>
              <w:spacing w:before="60" w:after="60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7331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predicted score / ranking rationale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1D6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3</w:t>
            </w:r>
          </w:p>
        </w:tc>
      </w:tr>
      <w:tr w:rsidR="007F2FD0" w14:paraId="1CE8D2DD" w14:textId="77777777" w:rsidTr="009836D6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AB1B1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DE24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Ab_example_004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9FB40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VHH single-domain antibody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7682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optimization/modification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70BC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VHH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CA89D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D7383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starting VHH name/source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558AE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starting VHH sequence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80139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N/A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3C4C5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Briefly describe the main modified regions and strategy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83F9" w14:textId="77777777" w:rsidR="007F2FD0" w:rsidRDefault="007F2FD0" w:rsidP="009836D6">
            <w:pPr>
              <w:spacing w:before="60" w:after="60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3A919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Enter predicted score / ranking rationale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ADC0D" w14:textId="77777777" w:rsidR="007F2FD0" w:rsidRDefault="007F2FD0" w:rsidP="009836D6">
            <w:pPr>
              <w:spacing w:before="60" w:after="60"/>
            </w:pPr>
            <w:r>
              <w:rPr>
                <w:color w:val="000000"/>
                <w:sz w:val="11"/>
              </w:rPr>
              <w:t>4</w:t>
            </w:r>
          </w:p>
        </w:tc>
      </w:tr>
    </w:tbl>
    <w:p w14:paraId="2AEE3098" w14:textId="77777777" w:rsidR="007F2FD0" w:rsidRDefault="007F2FD0" w:rsidP="007F2FD0">
      <w:pPr>
        <w:spacing w:before="120" w:after="120" w:line="288" w:lineRule="auto"/>
        <w:jc w:val="both"/>
      </w:pPr>
      <w:r>
        <w:rPr>
          <w:color w:val="000000"/>
        </w:rPr>
        <w:lastRenderedPageBreak/>
        <w:t>Note: This template is recommended to be converted to Excel before submission. For official submission, please delete the example rows and complete one row for each candidate antibody sequence actually submitted.</w:t>
      </w:r>
    </w:p>
    <w:p w14:paraId="1D999D32" w14:textId="77777777" w:rsidR="00DE7378" w:rsidRDefault="00DE7378"/>
    <w:sectPr w:rsidR="00DE7378" w:rsidSect="007F2FD0">
      <w:pgSz w:w="16838" w:h="11906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EE"/>
    <w:rsid w:val="00026C93"/>
    <w:rsid w:val="00303EEE"/>
    <w:rsid w:val="00431AC3"/>
    <w:rsid w:val="007D2FDE"/>
    <w:rsid w:val="007F2FD0"/>
    <w:rsid w:val="009C7051"/>
    <w:rsid w:val="00A94551"/>
    <w:rsid w:val="00B8613E"/>
    <w:rsid w:val="00BB3233"/>
    <w:rsid w:val="00C71F7B"/>
    <w:rsid w:val="00D42AD1"/>
    <w:rsid w:val="00DA26D8"/>
    <w:rsid w:val="00DE7378"/>
    <w:rsid w:val="00E93CCF"/>
    <w:rsid w:val="00EA4BCB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6241"/>
  <w15:chartTrackingRefBased/>
  <w15:docId w15:val="{6CF51B44-065D-4BC8-8DC1-1202317D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D0"/>
    <w:pPr>
      <w:spacing w:after="200" w:line="276" w:lineRule="auto"/>
    </w:pPr>
    <w:rPr>
      <w:rFonts w:ascii="Arial" w:eastAsia="Arial" w:hAnsi="Arial" w:cstheme="minorBidi"/>
      <w:bCs w:val="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3EEE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EEE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EEE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EEE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EEE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EEE"/>
    <w:pPr>
      <w:keepNext/>
      <w:keepLines/>
      <w:spacing w:before="40" w:after="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EEE"/>
    <w:pPr>
      <w:keepNext/>
      <w:keepLines/>
      <w:spacing w:before="40" w:after="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EEE"/>
    <w:pPr>
      <w:keepNext/>
      <w:keepLines/>
      <w:spacing w:after="0"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szCs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EEE"/>
    <w:pPr>
      <w:keepNext/>
      <w:keepLines/>
      <w:spacing w:after="0"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E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E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E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3EEE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EEE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EEE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EEE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0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EEE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03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EEE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szCs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0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EEE"/>
    <w:pPr>
      <w:spacing w:after="0" w:line="320" w:lineRule="exact"/>
      <w:ind w:left="720"/>
      <w:contextualSpacing/>
    </w:pPr>
    <w:rPr>
      <w:rFonts w:ascii="Microsoft YaHei UI" w:eastAsia="Microsoft YaHei UI" w:hAnsi="Microsoft YaHei UI" w:cs="宋体"/>
      <w:bCs/>
      <w:szCs w:val="21"/>
      <w:lang w:eastAsia="zh-CN"/>
    </w:rPr>
  </w:style>
  <w:style w:type="character" w:styleId="aa">
    <w:name w:val="Intense Emphasis"/>
    <w:basedOn w:val="a0"/>
    <w:uiPriority w:val="21"/>
    <w:qFormat/>
    <w:rsid w:val="00303E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szCs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03E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3EEE"/>
    <w:rPr>
      <w:b/>
      <w:bCs w:val="0"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F2FD0"/>
    <w:pPr>
      <w:spacing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8613E"/>
    <w:pPr>
      <w:spacing w:line="240" w:lineRule="auto"/>
    </w:pPr>
    <w:rPr>
      <w:rFonts w:ascii="Arial" w:eastAsia="Arial" w:hAnsi="Arial" w:cstheme="minorBidi"/>
      <w:bCs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10</cp:revision>
  <dcterms:created xsi:type="dcterms:W3CDTF">2026-05-24T14:44:00Z</dcterms:created>
  <dcterms:modified xsi:type="dcterms:W3CDTF">2026-06-25T04:25:00Z</dcterms:modified>
</cp:coreProperties>
</file>